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szCs w:val="20"/>
        </w:rPr>
      </w:pPr>
    </w:p>
    <w:p>
      <w:pPr>
        <w:jc w:val="center"/>
        <w:rPr>
          <w:szCs w:val="20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POŽADAVKY ZADAVATELE                 A NAVRHOVANÁ ENERGETICKY ÚSPORNÁ OPATŘENÍ</w:t>
      </w:r>
    </w:p>
    <w:p>
      <w:pPr>
        <w:jc w:val="center"/>
      </w:pPr>
    </w:p>
    <w:p>
      <w:pPr>
        <w:jc w:val="center"/>
      </w:pPr>
      <w:r>
        <w:t>v rámci projektu</w:t>
      </w:r>
    </w:p>
    <w:p>
      <w:pPr>
        <w:jc w:val="center"/>
        <w:rPr>
          <w:b/>
        </w:rPr>
      </w:pPr>
    </w:p>
    <w:p>
      <w:pPr>
        <w:pStyle w:val="ClientName"/>
        <w:numPr>
          <w:ilvl w:val="0"/>
          <w:numId w:val="0"/>
        </w:numPr>
        <w:spacing w:before="120"/>
        <w:jc w:val="left"/>
        <w:rPr>
          <w:caps/>
          <w:sz w:val="44"/>
        </w:rPr>
      </w:pPr>
      <w:r>
        <w:rPr>
          <w:rFonts w:eastAsiaTheme="minorHAnsi" w:cstheme="minorBidi"/>
          <w:b w:val="0"/>
          <w:bCs w:val="0"/>
          <w:sz w:val="20"/>
          <w:szCs w:val="22"/>
        </w:rPr>
        <w:t>EPC I Energetické úspory se zaručeným výsledkem – Krajský úřad Středočeského kraje</w:t>
      </w:r>
    </w:p>
    <w:p>
      <w:pPr>
        <w:pStyle w:val="Nadpis1"/>
        <w:numPr>
          <w:ilvl w:val="0"/>
          <w:numId w:val="0"/>
        </w:numPr>
        <w:jc w:val="both"/>
      </w:pPr>
    </w:p>
    <w:p>
      <w:pPr>
        <w:pStyle w:val="Nadpis1"/>
        <w:numPr>
          <w:ilvl w:val="0"/>
          <w:numId w:val="0"/>
        </w:numPr>
        <w:jc w:val="both"/>
      </w:pPr>
      <w:r>
        <w:t>Požadavek na minimální výši úspor energie dosaženou navrženými opatřeními</w:t>
      </w:r>
    </w:p>
    <w:p/>
    <w:p>
      <w:pPr>
        <w:jc w:val="both"/>
      </w:pPr>
      <w:r>
        <w:t xml:space="preserve">Zadavatel požaduje, aby předložené návrhy na energeticky úsporná opatření snížily celkovou současnou, tj. referenční úroveň spotřeby primární energie (bez technologické spotřeby) alespoň </w:t>
      </w:r>
      <w:r>
        <w:rPr>
          <w:b/>
        </w:rPr>
        <w:t xml:space="preserve">o </w:t>
      </w:r>
      <w:proofErr w:type="gramStart"/>
      <w:r>
        <w:rPr>
          <w:b/>
        </w:rPr>
        <w:t>21,01%</w:t>
      </w:r>
      <w:proofErr w:type="gramEnd"/>
      <w:r>
        <w:rPr>
          <w:b/>
        </w:rPr>
        <w:t>.</w:t>
      </w:r>
      <w:r>
        <w:t xml:space="preserve"> Toto snížení bude měřeno v energetických jednotkách a bude zároveň uvedeno jako závazek v příloze smlouvy.</w:t>
      </w:r>
    </w:p>
    <w:p>
      <w:pPr>
        <w:jc w:val="both"/>
      </w:pPr>
      <w:r>
        <w:t>Každoroční plnění tohoto závazku bude doloženo v roční průběžné zprávě spolu s vyhodnocením dosažených úspor.</w:t>
      </w:r>
    </w:p>
    <w:p>
      <w:pPr>
        <w:pStyle w:val="Nadpis1"/>
        <w:numPr>
          <w:ilvl w:val="0"/>
          <w:numId w:val="0"/>
        </w:numPr>
        <w:jc w:val="both"/>
      </w:pPr>
      <w:r>
        <w:t xml:space="preserve">Požadovaná opatření </w:t>
      </w:r>
    </w:p>
    <w:p>
      <w:pPr>
        <w:rPr>
          <w:rFonts w:eastAsiaTheme="majorEastAsia" w:cstheme="majorBidi"/>
          <w:b/>
          <w:caps/>
          <w:sz w:val="18"/>
          <w:szCs w:val="32"/>
        </w:rPr>
      </w:pPr>
    </w:p>
    <w:p>
      <w:pPr>
        <w:pStyle w:val="Nadpis1"/>
      </w:pPr>
      <w:r>
        <w:t>Zateplení stropní konstrukce do půdních prostor</w:t>
      </w:r>
    </w:p>
    <w:p/>
    <w:p>
      <w:r>
        <w:t>Součinitel prostupu tepla jednotlivých konstrukcí objektu, na něž je žádána podpora (bez dveří, střešních oken a světlíků</w:t>
      </w:r>
      <w:r>
        <w:t xml:space="preserve">) </w:t>
      </w:r>
      <w:r>
        <w:t>U [W.m</w:t>
      </w:r>
      <w:r>
        <w:rPr>
          <w:vertAlign w:val="superscript"/>
        </w:rPr>
        <w:t>-2</w:t>
      </w:r>
      <w:r>
        <w:t>.K</w:t>
      </w:r>
      <w:r>
        <w:rPr>
          <w:vertAlign w:val="superscript"/>
        </w:rPr>
        <w:t>-1</w:t>
      </w:r>
      <w:r>
        <w:t xml:space="preserve">] ≤ 0,9 x </w:t>
      </w:r>
      <w:proofErr w:type="spellStart"/>
      <w:r>
        <w:t>U</w:t>
      </w:r>
      <w:r>
        <w:rPr>
          <w:vertAlign w:val="subscript"/>
        </w:rPr>
        <w:t>rec</w:t>
      </w:r>
      <w:proofErr w:type="spellEnd"/>
    </w:p>
    <w:p/>
    <w:p>
      <w:pPr>
        <w:pStyle w:val="Odstavecseseznamem"/>
        <w:ind w:left="1080"/>
        <w:jc w:val="both"/>
      </w:pPr>
    </w:p>
    <w:p>
      <w:pPr>
        <w:jc w:val="both"/>
      </w:pPr>
    </w:p>
    <w:p>
      <w:pPr>
        <w:rPr>
          <w:rFonts w:eastAsiaTheme="majorEastAsia" w:cstheme="majorBidi"/>
          <w:b/>
          <w:caps/>
          <w:sz w:val="18"/>
          <w:szCs w:val="32"/>
        </w:rPr>
      </w:pPr>
    </w:p>
    <w:p>
      <w:r>
        <w:rPr>
          <w:rFonts w:eastAsiaTheme="majorEastAsia" w:cstheme="majorBidi"/>
          <w:b/>
          <w:caps/>
          <w:sz w:val="18"/>
          <w:szCs w:val="32"/>
        </w:rPr>
        <w:lastRenderedPageBreak/>
        <w:t>Výměna zdroje tepla</w:t>
      </w:r>
    </w:p>
    <w:p>
      <w:pPr>
        <w:jc w:val="both"/>
        <w:rPr>
          <w:szCs w:val="24"/>
        </w:rPr>
      </w:pPr>
      <w:r>
        <w:rPr>
          <w:szCs w:val="24"/>
        </w:rPr>
        <w:t>Instalovaný zdroj tepla musí plnit požadavky Nařízení Komise (EU) č. 813/2013, kterým se provádí směrnice Evropského parlamentu a Rady 2009/125/E, pokud jde o požadavky na ekodesign ohřívačů pro vytápění vnitřních prostorů a kombinovaných ohřívačů</w:t>
      </w:r>
      <w:r>
        <w:rPr>
          <w:szCs w:val="24"/>
        </w:rPr>
        <w:t xml:space="preserve"> </w:t>
      </w:r>
      <w:r>
        <w:rPr>
          <w:szCs w:val="24"/>
        </w:rPr>
        <w:t>(požadavky od 26. 9. 2018) nebo Nařízení komise č. 2015/1189 ze dne 28. dubna 2015, kterým se provádí směrnice Evropského parlamentu a Rady 2009/125/ES, pokud jde</w:t>
      </w:r>
      <w:r>
        <w:rPr>
          <w:szCs w:val="24"/>
        </w:rPr>
        <w:t xml:space="preserve"> </w:t>
      </w:r>
      <w:r>
        <w:rPr>
          <w:szCs w:val="24"/>
        </w:rPr>
        <w:t>o požadavky na ekodesign kotlů na tuhá paliva (požadavky od 1. 1. 2020).</w:t>
      </w:r>
    </w:p>
    <w:p>
      <w:pPr>
        <w:jc w:val="both"/>
        <w:rPr>
          <w:szCs w:val="24"/>
        </w:rPr>
      </w:pPr>
      <w:r>
        <w:rPr>
          <w:szCs w:val="24"/>
        </w:rPr>
        <w:t xml:space="preserve">V případě středních spalovacích zdrojů znečišťování (celkový jmenovitý tepelný příkon 1–50 MW) nespadajících do působnosti směrnice Evropského parlamentu a Rady 2009/125/ES, musí zdroje plnit požadavky Směrnice 2015/2193. Bez ohledu na Směrnici 2015/2193 musí být splněny emisní limity pro </w:t>
      </w:r>
      <w:proofErr w:type="spellStart"/>
      <w:r>
        <w:rPr>
          <w:szCs w:val="24"/>
        </w:rPr>
        <w:t>NOx</w:t>
      </w:r>
      <w:proofErr w:type="spellEnd"/>
      <w:r>
        <w:rPr>
          <w:szCs w:val="24"/>
        </w:rPr>
        <w:t>, SO2 a CO pro rok 2018 ve vyhlášce č. 415/2012 Sb.</w:t>
      </w:r>
      <w:r>
        <w:rPr>
          <w:szCs w:val="24"/>
        </w:rPr>
        <w:t xml:space="preserve">   </w:t>
      </w:r>
    </w:p>
    <w:p>
      <w:pPr>
        <w:jc w:val="both"/>
        <w:rPr>
          <w:szCs w:val="24"/>
        </w:rPr>
      </w:pPr>
      <w:r>
        <w:rPr>
          <w:szCs w:val="24"/>
        </w:rPr>
        <w:t xml:space="preserve">. </w:t>
      </w:r>
    </w:p>
    <w:p>
      <w:pPr>
        <w:pStyle w:val="Nadpis1"/>
        <w:numPr>
          <w:ilvl w:val="0"/>
          <w:numId w:val="2"/>
        </w:numPr>
        <w:spacing w:after="240"/>
      </w:pPr>
      <w:r>
        <w:t xml:space="preserve">Zadavatel dále požaduje: </w:t>
      </w:r>
    </w:p>
    <w:p>
      <w:pPr>
        <w:pStyle w:val="Odstavecseseznamem"/>
        <w:numPr>
          <w:ilvl w:val="0"/>
          <w:numId w:val="24"/>
        </w:numPr>
        <w:spacing w:line="480" w:lineRule="auto"/>
        <w:jc w:val="both"/>
        <w:rPr>
          <w:bCs/>
          <w:szCs w:val="32"/>
        </w:rPr>
      </w:pPr>
      <w:r>
        <w:rPr>
          <w:bCs/>
          <w:szCs w:val="32"/>
        </w:rPr>
        <w:t>Regulace podružných topných rozvaděčů</w:t>
      </w:r>
    </w:p>
    <w:p>
      <w:pPr>
        <w:pStyle w:val="Odstavecseseznamem"/>
        <w:numPr>
          <w:ilvl w:val="0"/>
          <w:numId w:val="24"/>
        </w:numPr>
        <w:spacing w:line="480" w:lineRule="auto"/>
        <w:jc w:val="both"/>
        <w:rPr>
          <w:bCs/>
        </w:rPr>
      </w:pPr>
      <w:r>
        <w:rPr>
          <w:bCs/>
        </w:rPr>
        <w:t>Úprava na cirkulaci TV</w:t>
      </w:r>
    </w:p>
    <w:p>
      <w:pPr>
        <w:pStyle w:val="Odstavecseseznamem"/>
        <w:numPr>
          <w:ilvl w:val="0"/>
          <w:numId w:val="24"/>
        </w:numPr>
        <w:spacing w:line="480" w:lineRule="auto"/>
        <w:rPr>
          <w:bCs/>
        </w:rPr>
      </w:pPr>
      <w:bookmarkStart w:id="0" w:name="_Toc21409689"/>
      <w:r>
        <w:rPr>
          <w:bCs/>
        </w:rPr>
        <w:t>Částečná výměna světelných zdrojů za nové</w:t>
      </w:r>
    </w:p>
    <w:p>
      <w:pPr>
        <w:pStyle w:val="Odstavecseseznamem"/>
        <w:numPr>
          <w:ilvl w:val="0"/>
          <w:numId w:val="24"/>
        </w:numPr>
        <w:spacing w:line="480" w:lineRule="auto"/>
        <w:rPr>
          <w:bCs/>
        </w:rPr>
      </w:pPr>
      <w:r>
        <w:rPr>
          <w:bCs/>
        </w:rPr>
        <w:t>Z</w:t>
      </w:r>
      <w:r>
        <w:rPr>
          <w:bCs/>
        </w:rPr>
        <w:t xml:space="preserve">avedení systému energetického managementu </w:t>
      </w:r>
      <w:r>
        <w:rPr>
          <w:bCs/>
        </w:rPr>
        <w:t>dle metodiky OPŽP</w:t>
      </w:r>
      <w:bookmarkStart w:id="1" w:name="_GoBack"/>
      <w:bookmarkEnd w:id="1"/>
    </w:p>
    <w:bookmarkEnd w:id="0"/>
    <w:p>
      <w:pPr>
        <w:jc w:val="both"/>
      </w:pPr>
      <w:r>
        <w:t xml:space="preserve"> </w:t>
      </w:r>
    </w:p>
    <w:sectPr>
      <w:headerReference w:type="default" r:id="rId7"/>
      <w:pgSz w:w="11906" w:h="16838"/>
      <w:pgMar w:top="3221" w:right="1417" w:bottom="1417" w:left="1417" w:header="119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tabs>
        <w:tab w:val="clear" w:pos="4536"/>
        <w:tab w:val="clear" w:pos="9072"/>
        <w:tab w:val="left" w:pos="5595"/>
      </w:tabs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2919730</wp:posOffset>
          </wp:positionH>
          <wp:positionV relativeFrom="paragraph">
            <wp:posOffset>-499110</wp:posOffset>
          </wp:positionV>
          <wp:extent cx="3032760" cy="1098550"/>
          <wp:effectExtent l="0" t="0" r="0" b="6350"/>
          <wp:wrapNone/>
          <wp:docPr id="55" name="Obráze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2760" cy="1098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-307340</wp:posOffset>
          </wp:positionV>
          <wp:extent cx="3009900" cy="800100"/>
          <wp:effectExtent l="0" t="0" r="0" b="0"/>
          <wp:wrapNone/>
          <wp:docPr id="56" name="Obrázek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8"/>
                  <a:stretch/>
                </pic:blipFill>
                <pic:spPr bwMode="auto">
                  <a:xfrm>
                    <a:off x="0" y="0"/>
                    <a:ext cx="30099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</w:p>
  <w:p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90805</wp:posOffset>
          </wp:positionV>
          <wp:extent cx="2895600" cy="988875"/>
          <wp:effectExtent l="0" t="0" r="0" b="1905"/>
          <wp:wrapNone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895600" cy="98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27E7"/>
    <w:multiLevelType w:val="hybridMultilevel"/>
    <w:tmpl w:val="0346F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61F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593666"/>
    <w:multiLevelType w:val="multilevel"/>
    <w:tmpl w:val="B36CB5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snapToGrid w:val="0"/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2E56D54"/>
    <w:multiLevelType w:val="hybridMultilevel"/>
    <w:tmpl w:val="B5503F1A"/>
    <w:lvl w:ilvl="0" w:tplc="EE9694A2"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E111E"/>
    <w:multiLevelType w:val="hybridMultilevel"/>
    <w:tmpl w:val="C8DA0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CBF"/>
    <w:multiLevelType w:val="hybridMultilevel"/>
    <w:tmpl w:val="70329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02F9A"/>
    <w:multiLevelType w:val="hybridMultilevel"/>
    <w:tmpl w:val="DEEA5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A7E49"/>
    <w:multiLevelType w:val="hybridMultilevel"/>
    <w:tmpl w:val="23F25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B6AFF"/>
    <w:multiLevelType w:val="multilevel"/>
    <w:tmpl w:val="20083F7E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E7D612C"/>
    <w:multiLevelType w:val="hybridMultilevel"/>
    <w:tmpl w:val="4D485A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3"/>
  </w:num>
  <w:num w:numId="18">
    <w:abstractNumId w:val="9"/>
  </w:num>
  <w:num w:numId="19">
    <w:abstractNumId w:val="1"/>
  </w:num>
  <w:num w:numId="20">
    <w:abstractNumId w:val="6"/>
  </w:num>
  <w:num w:numId="21">
    <w:abstractNumId w:val="1"/>
  </w:num>
  <w:num w:numId="22">
    <w:abstractNumId w:val="5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30BCF-670A-44F7-8CE2-0442B81D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Verdana" w:hAnsi="Verdan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aps/>
      <w:sz w:val="18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aliases w:val="Nadpis 3 úroveò,Nadpis 3 úroveň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ClientName">
    <w:name w:val="Client Name"/>
    <w:basedOn w:val="Nadpis2"/>
    <w:uiPriority w:val="99"/>
    <w:pPr>
      <w:keepLines w:val="0"/>
      <w:spacing w:before="0" w:line="240" w:lineRule="auto"/>
      <w:jc w:val="center"/>
    </w:pPr>
    <w:rPr>
      <w:rFonts w:ascii="Verdana" w:eastAsia="MS Mincho" w:hAnsi="Verdana" w:cs="Arial"/>
      <w:b/>
      <w:bCs/>
      <w:color w:val="auto"/>
      <w:sz w:val="48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Pr>
      <w:rFonts w:ascii="Verdana" w:eastAsiaTheme="majorEastAsia" w:hAnsi="Verdana" w:cstheme="majorBidi"/>
      <w:b/>
      <w:caps/>
      <w:sz w:val="18"/>
      <w:szCs w:val="32"/>
    </w:rPr>
  </w:style>
  <w:style w:type="character" w:customStyle="1" w:styleId="Nadpis3Char">
    <w:name w:val="Nadpis 3 Char"/>
    <w:aliases w:val="Nadpis 3 úroveò Char,Nadpis 3 úroveň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282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    EPC I Energetické úspory se zaručeným výsledkem – Krajský úřad Středočeského kra</vt:lpstr>
      <vt:lpstr/>
      <vt:lpstr>Požadavek na minimální výši úspor energie dosaženou navrženými opatřeními</vt:lpstr>
      <vt:lpstr>Požadovaná opatření </vt:lpstr>
      <vt:lpstr>Zateplení stropní konstrukce do půdních prostor</vt:lpstr>
      <vt:lpstr>Rekonstrukce VZT</vt:lpstr>
      <vt:lpstr>Fotovoltaické panely</vt:lpstr>
      <vt:lpstr>Zadavatel dále požaduje: </vt:lpstr>
      <vt:lpstr>Finanční limity 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2</cp:revision>
  <dcterms:created xsi:type="dcterms:W3CDTF">2020-03-24T10:23:00Z</dcterms:created>
  <dcterms:modified xsi:type="dcterms:W3CDTF">2020-03-26T07:28:00Z</dcterms:modified>
</cp:coreProperties>
</file>